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11EF4" w14:textId="77777777" w:rsidR="00990FC8" w:rsidRPr="00990FC8" w:rsidRDefault="00990FC8" w:rsidP="00461A25">
      <w:pPr>
        <w:spacing w:before="180" w:after="180"/>
        <w:rPr>
          <w:color w:val="2D3B45"/>
        </w:rPr>
      </w:pPr>
    </w:p>
    <w:p w14:paraId="3F7D6E60" w14:textId="77777777" w:rsidR="00990FC8" w:rsidRPr="00990FC8" w:rsidRDefault="00990FC8" w:rsidP="00461A25">
      <w:pPr>
        <w:spacing w:before="180" w:after="180"/>
        <w:rPr>
          <w:color w:val="2D3B45"/>
        </w:rPr>
      </w:pPr>
    </w:p>
    <w:p w14:paraId="4A003CC1" w14:textId="77777777" w:rsidR="00990FC8" w:rsidRPr="00990FC8" w:rsidRDefault="00990FC8" w:rsidP="00461A25">
      <w:pPr>
        <w:spacing w:before="180" w:after="180"/>
        <w:rPr>
          <w:color w:val="2D3B45"/>
        </w:rPr>
      </w:pPr>
    </w:p>
    <w:p w14:paraId="062796D4" w14:textId="77777777" w:rsidR="00990FC8" w:rsidRPr="00990FC8" w:rsidRDefault="00990FC8" w:rsidP="00461A25">
      <w:pPr>
        <w:spacing w:before="180" w:after="180"/>
        <w:rPr>
          <w:color w:val="2D3B45"/>
        </w:rPr>
      </w:pPr>
    </w:p>
    <w:p w14:paraId="37D1E6E8" w14:textId="77777777" w:rsidR="00990FC8" w:rsidRPr="00990FC8" w:rsidRDefault="00990FC8" w:rsidP="00461A25">
      <w:pPr>
        <w:spacing w:before="180" w:after="180"/>
        <w:rPr>
          <w:color w:val="2D3B45"/>
        </w:rPr>
      </w:pPr>
    </w:p>
    <w:p w14:paraId="0A942C59" w14:textId="77777777" w:rsidR="00990FC8" w:rsidRPr="00990FC8" w:rsidRDefault="00990FC8" w:rsidP="00461A25">
      <w:pPr>
        <w:spacing w:before="180" w:after="180"/>
        <w:rPr>
          <w:color w:val="2D3B45"/>
        </w:rPr>
      </w:pPr>
    </w:p>
    <w:p w14:paraId="7176128B" w14:textId="77777777" w:rsidR="00990FC8" w:rsidRPr="00990FC8" w:rsidRDefault="00990FC8" w:rsidP="00461A25">
      <w:pPr>
        <w:spacing w:before="180" w:after="180"/>
        <w:rPr>
          <w:color w:val="2D3B45"/>
        </w:rPr>
      </w:pPr>
    </w:p>
    <w:p w14:paraId="59B251E2" w14:textId="77777777" w:rsidR="00990FC8" w:rsidRPr="00990FC8" w:rsidRDefault="00990FC8" w:rsidP="00461A25">
      <w:pPr>
        <w:spacing w:before="180" w:after="180"/>
        <w:rPr>
          <w:color w:val="2D3B45"/>
        </w:rPr>
      </w:pPr>
    </w:p>
    <w:p w14:paraId="28FC40D1" w14:textId="77777777" w:rsidR="00990FC8" w:rsidRPr="00990FC8" w:rsidRDefault="00990FC8" w:rsidP="00461A25">
      <w:pPr>
        <w:spacing w:before="180" w:after="180"/>
        <w:rPr>
          <w:color w:val="2D3B45"/>
        </w:rPr>
      </w:pPr>
    </w:p>
    <w:p w14:paraId="704F531C" w14:textId="77777777" w:rsidR="00990FC8" w:rsidRPr="00990FC8" w:rsidRDefault="00990FC8" w:rsidP="00461A25">
      <w:pPr>
        <w:spacing w:before="180" w:after="180"/>
        <w:rPr>
          <w:color w:val="2D3B45"/>
        </w:rPr>
      </w:pPr>
    </w:p>
    <w:p w14:paraId="2E345A6D" w14:textId="090DC807" w:rsidR="00990FC8" w:rsidRDefault="000C5CBB" w:rsidP="00990FC8">
      <w:pPr>
        <w:spacing w:before="180" w:after="180" w:line="480" w:lineRule="auto"/>
        <w:jc w:val="center"/>
        <w:rPr>
          <w:color w:val="2D3B45"/>
        </w:rPr>
      </w:pPr>
      <w:r w:rsidRPr="00990FC8">
        <w:rPr>
          <w:color w:val="2D3B45"/>
        </w:rPr>
        <w:t>Maternal and Childhood</w:t>
      </w:r>
      <w:r w:rsidR="005E7722" w:rsidRPr="00990FC8">
        <w:rPr>
          <w:color w:val="2D3B45"/>
        </w:rPr>
        <w:t xml:space="preserve"> </w:t>
      </w:r>
      <w:r w:rsidR="005E7722" w:rsidRPr="005E7722">
        <w:rPr>
          <w:color w:val="2D3B45"/>
        </w:rPr>
        <w:t xml:space="preserve">Outcomes </w:t>
      </w:r>
      <w:r w:rsidRPr="00990FC8">
        <w:rPr>
          <w:color w:val="2D3B45"/>
        </w:rPr>
        <w:t>Evaluation Program Proposal</w:t>
      </w:r>
    </w:p>
    <w:p w14:paraId="2A1507CF" w14:textId="3D77F684" w:rsidR="00990FC8" w:rsidRDefault="000C5CBB" w:rsidP="00990FC8">
      <w:pPr>
        <w:spacing w:before="180" w:after="180" w:line="480" w:lineRule="auto"/>
        <w:jc w:val="center"/>
        <w:rPr>
          <w:color w:val="2D3B45"/>
        </w:rPr>
      </w:pPr>
      <w:r>
        <w:rPr>
          <w:color w:val="2D3B45"/>
        </w:rPr>
        <w:t>Student’s Name:</w:t>
      </w:r>
    </w:p>
    <w:p w14:paraId="01DD6D19" w14:textId="3E38EE1C" w:rsidR="00990FC8" w:rsidRDefault="000C5CBB" w:rsidP="00990FC8">
      <w:pPr>
        <w:spacing w:before="180" w:after="180" w:line="480" w:lineRule="auto"/>
        <w:jc w:val="center"/>
        <w:rPr>
          <w:color w:val="2D3B45"/>
        </w:rPr>
      </w:pPr>
      <w:r>
        <w:rPr>
          <w:color w:val="2D3B45"/>
        </w:rPr>
        <w:t>University Details:</w:t>
      </w:r>
    </w:p>
    <w:p w14:paraId="3CBC9D9D" w14:textId="29137EF1" w:rsidR="00990FC8" w:rsidRDefault="000C5CBB" w:rsidP="00990FC8">
      <w:pPr>
        <w:spacing w:before="180" w:after="180" w:line="480" w:lineRule="auto"/>
        <w:jc w:val="center"/>
        <w:rPr>
          <w:color w:val="2D3B45"/>
        </w:rPr>
      </w:pPr>
      <w:r>
        <w:rPr>
          <w:color w:val="2D3B45"/>
        </w:rPr>
        <w:t>Date:</w:t>
      </w:r>
    </w:p>
    <w:p w14:paraId="6D752CC6" w14:textId="77777777" w:rsidR="00990FC8" w:rsidRPr="00990FC8" w:rsidRDefault="00990FC8" w:rsidP="00990FC8">
      <w:pPr>
        <w:spacing w:before="180" w:after="180"/>
        <w:jc w:val="center"/>
        <w:rPr>
          <w:color w:val="2D3B45"/>
        </w:rPr>
      </w:pPr>
    </w:p>
    <w:p w14:paraId="6BF9A410" w14:textId="77777777" w:rsidR="00990FC8" w:rsidRDefault="00990FC8" w:rsidP="00461A25">
      <w:pPr>
        <w:spacing w:before="180" w:after="180"/>
        <w:rPr>
          <w:color w:val="2D3B45"/>
        </w:rPr>
      </w:pPr>
    </w:p>
    <w:p w14:paraId="6317E2B6" w14:textId="77777777" w:rsidR="00990FC8" w:rsidRDefault="00990FC8" w:rsidP="00461A25">
      <w:pPr>
        <w:spacing w:before="180" w:after="180"/>
        <w:rPr>
          <w:color w:val="2D3B45"/>
        </w:rPr>
      </w:pPr>
    </w:p>
    <w:p w14:paraId="26614559" w14:textId="77777777" w:rsidR="00990FC8" w:rsidRDefault="00990FC8" w:rsidP="00461A25">
      <w:pPr>
        <w:spacing w:before="180" w:after="180"/>
        <w:rPr>
          <w:color w:val="2D3B45"/>
        </w:rPr>
      </w:pPr>
    </w:p>
    <w:p w14:paraId="7CAE2A04" w14:textId="77777777" w:rsidR="00990FC8" w:rsidRDefault="00990FC8" w:rsidP="00461A25">
      <w:pPr>
        <w:spacing w:before="180" w:after="180"/>
        <w:rPr>
          <w:color w:val="2D3B45"/>
        </w:rPr>
      </w:pPr>
    </w:p>
    <w:p w14:paraId="408ECE9E" w14:textId="77777777" w:rsidR="00990FC8" w:rsidRDefault="00990FC8" w:rsidP="00461A25">
      <w:pPr>
        <w:spacing w:before="180" w:after="180"/>
        <w:rPr>
          <w:color w:val="2D3B45"/>
        </w:rPr>
      </w:pPr>
    </w:p>
    <w:p w14:paraId="41996448" w14:textId="77777777" w:rsidR="00990FC8" w:rsidRDefault="00990FC8" w:rsidP="00461A25">
      <w:pPr>
        <w:spacing w:before="180" w:after="180"/>
        <w:rPr>
          <w:color w:val="2D3B45"/>
        </w:rPr>
      </w:pPr>
    </w:p>
    <w:p w14:paraId="34A8F2AD" w14:textId="77777777" w:rsidR="00990FC8" w:rsidRDefault="00990FC8" w:rsidP="00461A25">
      <w:pPr>
        <w:spacing w:before="180" w:after="180"/>
        <w:rPr>
          <w:color w:val="2D3B45"/>
        </w:rPr>
      </w:pPr>
    </w:p>
    <w:p w14:paraId="5072AC7D" w14:textId="77777777" w:rsidR="00990FC8" w:rsidRDefault="00990FC8" w:rsidP="00461A25">
      <w:pPr>
        <w:spacing w:before="180" w:after="180"/>
        <w:rPr>
          <w:color w:val="2D3B45"/>
        </w:rPr>
      </w:pPr>
    </w:p>
    <w:p w14:paraId="5A5028DA" w14:textId="77777777" w:rsidR="00990FC8" w:rsidRDefault="00990FC8" w:rsidP="00461A25">
      <w:pPr>
        <w:spacing w:before="180" w:after="180"/>
        <w:rPr>
          <w:color w:val="2D3B45"/>
        </w:rPr>
      </w:pPr>
    </w:p>
    <w:p w14:paraId="503C0D2F" w14:textId="77777777" w:rsidR="00990FC8" w:rsidRDefault="00990FC8" w:rsidP="00461A25">
      <w:pPr>
        <w:spacing w:before="180" w:after="180"/>
        <w:rPr>
          <w:color w:val="2D3B45"/>
        </w:rPr>
      </w:pPr>
    </w:p>
    <w:p w14:paraId="56662F90" w14:textId="77777777" w:rsidR="00990FC8" w:rsidRDefault="00990FC8" w:rsidP="00990FC8">
      <w:pPr>
        <w:pStyle w:val="ListParagraph"/>
        <w:spacing w:before="180" w:after="180"/>
        <w:jc w:val="center"/>
        <w:rPr>
          <w:color w:val="2D3B45"/>
        </w:rPr>
      </w:pPr>
    </w:p>
    <w:p w14:paraId="2AD2A3AF" w14:textId="4409026A" w:rsidR="00990FC8" w:rsidRPr="00284404" w:rsidRDefault="000C5CBB" w:rsidP="00B96E1E">
      <w:pPr>
        <w:spacing w:before="180" w:after="180"/>
        <w:rPr>
          <w:color w:val="2D3B45"/>
        </w:rPr>
      </w:pPr>
      <w:r w:rsidRPr="00284404">
        <w:rPr>
          <w:color w:val="2D3B45"/>
        </w:rPr>
        <w:lastRenderedPageBreak/>
        <w:t>Introduction</w:t>
      </w:r>
    </w:p>
    <w:p w14:paraId="28AE8196" w14:textId="2705CF71" w:rsidR="00990FC8" w:rsidRPr="00284404" w:rsidRDefault="000C5CBB" w:rsidP="00284404">
      <w:pPr>
        <w:spacing w:before="180" w:after="180" w:line="480" w:lineRule="auto"/>
        <w:ind w:firstLine="720"/>
        <w:rPr>
          <w:color w:val="2D3B45"/>
        </w:rPr>
      </w:pPr>
      <w:r>
        <w:rPr>
          <w:color w:val="2D3B45"/>
        </w:rPr>
        <w:t xml:space="preserve">The CDC framework for evaluation guides to the appropriate practical, organized, and summarized method of program evaluation. The program lays emphasis on practical approaches that involve all stakeholders and applies </w:t>
      </w:r>
      <w:r w:rsidR="005E7722">
        <w:rPr>
          <w:color w:val="2D3B45"/>
        </w:rPr>
        <w:t>effective elements for planning and improving public health care</w:t>
      </w:r>
      <w:r w:rsidR="005F1F7A">
        <w:rPr>
          <w:color w:val="2D3B45"/>
        </w:rPr>
        <w:t xml:space="preserve"> (</w:t>
      </w:r>
      <w:r w:rsidR="005F1F7A" w:rsidRPr="005F1F7A">
        <w:rPr>
          <w:color w:val="2D3B45"/>
        </w:rPr>
        <w:t>Sekhobo</w:t>
      </w:r>
      <w:r w:rsidR="005F1F7A">
        <w:rPr>
          <w:color w:val="2D3B45"/>
        </w:rPr>
        <w:t xml:space="preserve"> et al</w:t>
      </w:r>
      <w:r w:rsidR="005F1F7A" w:rsidRPr="005F1F7A">
        <w:rPr>
          <w:color w:val="2D3B45"/>
        </w:rPr>
        <w:t>,</w:t>
      </w:r>
      <w:r w:rsidR="00B96E1E">
        <w:rPr>
          <w:color w:val="2D3B45"/>
        </w:rPr>
        <w:t xml:space="preserve"> </w:t>
      </w:r>
      <w:r w:rsidR="005F1F7A">
        <w:rPr>
          <w:color w:val="2D3B45"/>
        </w:rPr>
        <w:t>2017).</w:t>
      </w:r>
      <w:r w:rsidR="005E7722">
        <w:rPr>
          <w:color w:val="2D3B45"/>
        </w:rPr>
        <w:t xml:space="preserve"> Maternal and childhood outcomes refer to child mortality rate, stillbirth, </w:t>
      </w:r>
      <w:r w:rsidR="00BA2F5C">
        <w:rPr>
          <w:color w:val="2D3B45"/>
        </w:rPr>
        <w:t>hemorrhage</w:t>
      </w:r>
      <w:r w:rsidR="005E7722">
        <w:rPr>
          <w:color w:val="2D3B45"/>
        </w:rPr>
        <w:t xml:space="preserve">, tear </w:t>
      </w:r>
      <w:r w:rsidR="00284404">
        <w:rPr>
          <w:color w:val="2D3B45"/>
        </w:rPr>
        <w:t>during birth among other aspects</w:t>
      </w:r>
      <w:r w:rsidR="005E7722">
        <w:rPr>
          <w:color w:val="2D3B45"/>
        </w:rPr>
        <w:t>.</w:t>
      </w:r>
      <w:r w:rsidR="00CC686B">
        <w:rPr>
          <w:color w:val="2D3B45"/>
        </w:rPr>
        <w:t xml:space="preserve"> </w:t>
      </w:r>
    </w:p>
    <w:p w14:paraId="75D84D3A" w14:textId="4FE82BD7" w:rsidR="00461A25" w:rsidRPr="00284404" w:rsidRDefault="000C5CBB" w:rsidP="00B96E1E">
      <w:pPr>
        <w:spacing w:before="100" w:beforeAutospacing="1" w:after="100" w:afterAutospacing="1"/>
        <w:rPr>
          <w:color w:val="2D3B45"/>
        </w:rPr>
      </w:pPr>
      <w:r w:rsidRPr="00284404">
        <w:rPr>
          <w:color w:val="2D3B45"/>
        </w:rPr>
        <w:t>Evaluation focus</w:t>
      </w:r>
    </w:p>
    <w:p w14:paraId="783A53B2" w14:textId="661781D2" w:rsidR="00CC686B" w:rsidRPr="00CC686B" w:rsidRDefault="000C5CBB" w:rsidP="00284404">
      <w:pPr>
        <w:spacing w:before="100" w:beforeAutospacing="1" w:after="100" w:afterAutospacing="1" w:line="480" w:lineRule="auto"/>
        <w:ind w:firstLine="720"/>
        <w:rPr>
          <w:color w:val="2D3B45"/>
        </w:rPr>
      </w:pPr>
      <w:r>
        <w:rPr>
          <w:color w:val="2D3B45"/>
        </w:rPr>
        <w:t xml:space="preserve">To study the maternal and childhood outcomes an evaluation is </w:t>
      </w:r>
      <w:r>
        <w:rPr>
          <w:color w:val="2D3B45"/>
        </w:rPr>
        <w:t>made of related research studies that deal with the special supplemental food program. The aspects under evaluation for the different groups are; dietary intake, comparative weight gain, gestation, psychological development for five-year-olds, birth weight</w:t>
      </w:r>
      <w:r>
        <w:rPr>
          <w:color w:val="2D3B45"/>
        </w:rPr>
        <w:t>, and infant length</w:t>
      </w:r>
      <w:r w:rsidR="005F1F7A">
        <w:rPr>
          <w:color w:val="2D3B45"/>
        </w:rPr>
        <w:t xml:space="preserve"> (Hudak et al., </w:t>
      </w:r>
      <w:r w:rsidR="005F1F7A" w:rsidRPr="005F1F7A">
        <w:rPr>
          <w:color w:val="2D3B45"/>
        </w:rPr>
        <w:t>2020).</w:t>
      </w:r>
      <w:r>
        <w:rPr>
          <w:color w:val="2D3B45"/>
        </w:rPr>
        <w:t xml:space="preserve"> The study seeks to evaluate the documented aspects that, nutrition program leads to healthier children,</w:t>
      </w:r>
      <w:r w:rsidR="00B85909">
        <w:rPr>
          <w:color w:val="2D3B45"/>
        </w:rPr>
        <w:t xml:space="preserve"> better healthcare and leads to higher academic achievements for the youngsters. </w:t>
      </w:r>
    </w:p>
    <w:p w14:paraId="0617AE06" w14:textId="43B07825" w:rsidR="00461A25" w:rsidRPr="00284404" w:rsidRDefault="000C5CBB" w:rsidP="00B96E1E">
      <w:pPr>
        <w:spacing w:before="100" w:beforeAutospacing="1" w:after="100" w:afterAutospacing="1"/>
        <w:rPr>
          <w:color w:val="2D3B45"/>
        </w:rPr>
      </w:pPr>
      <w:r w:rsidRPr="00284404">
        <w:rPr>
          <w:color w:val="2D3B45"/>
        </w:rPr>
        <w:t>Evaluation Design</w:t>
      </w:r>
    </w:p>
    <w:p w14:paraId="1883CB89" w14:textId="3C8D0CB6" w:rsidR="00B85909" w:rsidRDefault="000C5CBB" w:rsidP="00284404">
      <w:pPr>
        <w:spacing w:before="100" w:beforeAutospacing="1" w:after="100" w:afterAutospacing="1" w:line="480" w:lineRule="auto"/>
        <w:ind w:firstLine="720"/>
        <w:rPr>
          <w:color w:val="2D3B45"/>
        </w:rPr>
      </w:pPr>
      <w:r>
        <w:rPr>
          <w:color w:val="2D3B45"/>
        </w:rPr>
        <w:t>Research materials will be used to determine the effectiveness of the supplemental nutrition program for WIC. The data is thus collected from secondary sources available throughout the existence of the program. The correlation of the benefits of the progra</w:t>
      </w:r>
      <w:r>
        <w:rPr>
          <w:color w:val="2D3B45"/>
        </w:rPr>
        <w:t>m to the factored individuals will be determined by a comparative study with those that do not meet the eligibility criteria</w:t>
      </w:r>
      <w:r w:rsidR="005F1F7A">
        <w:rPr>
          <w:color w:val="2D3B45"/>
        </w:rPr>
        <w:t xml:space="preserve"> </w:t>
      </w:r>
      <w:r w:rsidR="005F1F7A" w:rsidRPr="005F1F7A">
        <w:rPr>
          <w:color w:val="2D3B45"/>
        </w:rPr>
        <w:t xml:space="preserve">(Hudak et al., </w:t>
      </w:r>
      <w:r w:rsidR="005F1F7A">
        <w:rPr>
          <w:color w:val="2D3B45"/>
        </w:rPr>
        <w:t>2020)</w:t>
      </w:r>
      <w:r>
        <w:rPr>
          <w:color w:val="2D3B45"/>
        </w:rPr>
        <w:t xml:space="preserve">. Aspects such as health status, weight gain, birth weight, infant mortality will be considered. </w:t>
      </w:r>
    </w:p>
    <w:p w14:paraId="27D0A4CB" w14:textId="0143AAF7" w:rsidR="00B85909" w:rsidRPr="00B85909" w:rsidRDefault="000C5CBB" w:rsidP="00284404">
      <w:pPr>
        <w:spacing w:before="100" w:beforeAutospacing="1" w:after="100" w:afterAutospacing="1" w:line="480" w:lineRule="auto"/>
        <w:ind w:firstLine="720"/>
        <w:rPr>
          <w:color w:val="2D3B45"/>
        </w:rPr>
      </w:pPr>
      <w:r>
        <w:rPr>
          <w:color w:val="2D3B45"/>
        </w:rPr>
        <w:t>Reitsma et al</w:t>
      </w:r>
      <w:r>
        <w:rPr>
          <w:color w:val="2D3B45"/>
        </w:rPr>
        <w:t xml:space="preserve">, (2020) comparison can be made for the occurrence of birth interventions and maternal outcomes in labor cases either happening in the hospital or those that occur at </w:t>
      </w:r>
      <w:r>
        <w:rPr>
          <w:color w:val="2D3B45"/>
        </w:rPr>
        <w:lastRenderedPageBreak/>
        <w:t xml:space="preserve">home. In this perspective, stillbirths, and child mortality can be compared. In the same </w:t>
      </w:r>
      <w:r>
        <w:rPr>
          <w:color w:val="2D3B45"/>
        </w:rPr>
        <w:t>cases, as in the study, since various entries are made for different states, the data from study reports can still be huge. In this case, data analysis will be conducted by the use of statistical software such as Excel, Minitab, and SPSS. In many other ins</w:t>
      </w:r>
      <w:r>
        <w:rPr>
          <w:color w:val="2D3B45"/>
        </w:rPr>
        <w:t>tances, qualitative data will be collected and evaluated from a true or false perspective</w:t>
      </w:r>
      <w:r w:rsidR="005F1F7A">
        <w:rPr>
          <w:color w:val="2D3B45"/>
        </w:rPr>
        <w:t xml:space="preserve"> (Besharov, &amp; Germanis, </w:t>
      </w:r>
      <w:r w:rsidR="005F1F7A" w:rsidRPr="005F1F7A">
        <w:rPr>
          <w:color w:val="2D3B45"/>
        </w:rPr>
        <w:t>2001).</w:t>
      </w:r>
      <w:r>
        <w:rPr>
          <w:color w:val="2D3B45"/>
        </w:rPr>
        <w:t xml:space="preserve"> In the same area, medical practitioners can serve a big purpose in providing the responses based on a pre-prepared interview.</w:t>
      </w:r>
    </w:p>
    <w:p w14:paraId="2607E40C" w14:textId="362FCFD5" w:rsidR="006102B0" w:rsidRDefault="000C5CBB" w:rsidP="006102B0">
      <w:pPr>
        <w:spacing w:before="100" w:beforeAutospacing="1" w:after="100" w:afterAutospacing="1"/>
        <w:jc w:val="center"/>
        <w:rPr>
          <w:color w:val="2D3B45"/>
        </w:rPr>
      </w:pPr>
      <w:r>
        <w:rPr>
          <w:color w:val="2D3B45"/>
        </w:rPr>
        <w:t>Evaluation</w:t>
      </w:r>
      <w:r>
        <w:rPr>
          <w:color w:val="2D3B45"/>
        </w:rPr>
        <w:t xml:space="preserve"> steps</w:t>
      </w:r>
    </w:p>
    <w:p w14:paraId="535B5425" w14:textId="20E092E9" w:rsidR="006102B0" w:rsidRPr="00284404" w:rsidRDefault="000C5CBB" w:rsidP="006102B0">
      <w:pPr>
        <w:pStyle w:val="ListParagraph"/>
        <w:numPr>
          <w:ilvl w:val="0"/>
          <w:numId w:val="4"/>
        </w:numPr>
        <w:spacing w:before="100" w:beforeAutospacing="1" w:after="100" w:afterAutospacing="1"/>
        <w:rPr>
          <w:i/>
          <w:color w:val="2D3B45"/>
        </w:rPr>
      </w:pPr>
      <w:r w:rsidRPr="00284404">
        <w:rPr>
          <w:i/>
          <w:color w:val="2D3B45"/>
        </w:rPr>
        <w:t>Stakeholder’s engagement</w:t>
      </w:r>
    </w:p>
    <w:p w14:paraId="59F13A13" w14:textId="56FAE817" w:rsidR="006102B0" w:rsidRPr="006102B0" w:rsidRDefault="000C5CBB" w:rsidP="00284404">
      <w:pPr>
        <w:spacing w:before="100" w:beforeAutospacing="1" w:after="100" w:afterAutospacing="1" w:line="480" w:lineRule="auto"/>
        <w:ind w:firstLine="360"/>
        <w:rPr>
          <w:color w:val="2D3B45"/>
        </w:rPr>
      </w:pPr>
      <w:r>
        <w:rPr>
          <w:color w:val="2D3B45"/>
        </w:rPr>
        <w:t xml:space="preserve">The various stakeholders in this study refer to the direct and indirect respondents. The direct ones include medical </w:t>
      </w:r>
      <w:r w:rsidR="0068562B">
        <w:rPr>
          <w:color w:val="2D3B45"/>
        </w:rPr>
        <w:t>practitioners</w:t>
      </w:r>
      <w:r>
        <w:rPr>
          <w:color w:val="2D3B45"/>
        </w:rPr>
        <w:t xml:space="preserve">, members of the WIC program, funding individuals, bodies and organizations, </w:t>
      </w:r>
      <w:r w:rsidR="0068562B">
        <w:rPr>
          <w:color w:val="2D3B45"/>
        </w:rPr>
        <w:t>families, policymakers among others. The indirect respondents refer to the research materials and other secondary sources of information that represent an opinion of an expert.</w:t>
      </w:r>
    </w:p>
    <w:p w14:paraId="43221BEB" w14:textId="2E2D22E8" w:rsidR="006102B0" w:rsidRPr="00284404" w:rsidRDefault="000C5CBB" w:rsidP="0068562B">
      <w:pPr>
        <w:pStyle w:val="ListParagraph"/>
        <w:numPr>
          <w:ilvl w:val="0"/>
          <w:numId w:val="4"/>
        </w:numPr>
        <w:spacing w:before="100" w:beforeAutospacing="1" w:after="100" w:afterAutospacing="1" w:line="480" w:lineRule="auto"/>
        <w:rPr>
          <w:i/>
          <w:color w:val="2D3B45"/>
        </w:rPr>
      </w:pPr>
      <w:r w:rsidRPr="00284404">
        <w:rPr>
          <w:i/>
          <w:color w:val="2D3B45"/>
        </w:rPr>
        <w:t>Program description</w:t>
      </w:r>
    </w:p>
    <w:p w14:paraId="728578E1" w14:textId="3B7B97A2" w:rsidR="00284404" w:rsidRDefault="000C5CBB" w:rsidP="00284404">
      <w:pPr>
        <w:spacing w:before="100" w:beforeAutospacing="1" w:after="100" w:afterAutospacing="1" w:line="480" w:lineRule="auto"/>
        <w:ind w:firstLine="360"/>
        <w:rPr>
          <w:color w:val="2D3B45"/>
        </w:rPr>
      </w:pPr>
      <w:r w:rsidRPr="0068562B">
        <w:rPr>
          <w:color w:val="2D3B45"/>
        </w:rPr>
        <w:t>The WIC program is mostly conducted at the federal level where different sta</w:t>
      </w:r>
      <w:r w:rsidRPr="0068562B">
        <w:rPr>
          <w:color w:val="2D3B45"/>
        </w:rPr>
        <w:t>te agencies determine the eligibility criteria and provide the benefits and services to the participants.</w:t>
      </w:r>
      <w:r>
        <w:rPr>
          <w:color w:val="2D3B45"/>
        </w:rPr>
        <w:t xml:space="preserve"> </w:t>
      </w:r>
      <w:r w:rsidRPr="0068562B">
        <w:rPr>
          <w:color w:val="2D3B45"/>
        </w:rPr>
        <w:t xml:space="preserve">WIC basically, acts to safeguard the health status of low-income women, infants and children through the provision of foods, nutrition education, and </w:t>
      </w:r>
      <w:r w:rsidRPr="0068562B">
        <w:rPr>
          <w:color w:val="2D3B45"/>
        </w:rPr>
        <w:t>healthcare needs</w:t>
      </w:r>
      <w:r>
        <w:rPr>
          <w:color w:val="2D3B45"/>
        </w:rPr>
        <w:t xml:space="preserve"> (Chaparro et al., 2019)</w:t>
      </w:r>
      <w:r w:rsidRPr="0068562B">
        <w:rPr>
          <w:color w:val="2D3B45"/>
        </w:rPr>
        <w:t>. In the study of maternal and childhood outcomes, various aspects can be considered, such as dietary needs, behaviors of pregnant women, breastfeeding, improvement of unhealthy diets for older children, among others</w:t>
      </w:r>
      <w:r w:rsidRPr="0068562B">
        <w:rPr>
          <w:color w:val="2D3B45"/>
        </w:rPr>
        <w:t xml:space="preserve">. </w:t>
      </w:r>
    </w:p>
    <w:p w14:paraId="43C67930" w14:textId="5A4881F4" w:rsidR="0068562B" w:rsidRPr="0068562B" w:rsidRDefault="000C5CBB" w:rsidP="00284404">
      <w:pPr>
        <w:spacing w:before="100" w:beforeAutospacing="1" w:after="100" w:afterAutospacing="1" w:line="480" w:lineRule="auto"/>
        <w:ind w:firstLine="360"/>
        <w:rPr>
          <w:color w:val="2D3B45"/>
        </w:rPr>
      </w:pPr>
      <w:r w:rsidRPr="0068562B">
        <w:rPr>
          <w:color w:val="2D3B45"/>
        </w:rPr>
        <w:lastRenderedPageBreak/>
        <w:t>In the food provisions, WIC helps avail fresh, locally produced fruits and vegetables to the study participants</w:t>
      </w:r>
      <w:r w:rsidR="005F1F7A">
        <w:rPr>
          <w:color w:val="2D3B45"/>
        </w:rPr>
        <w:t xml:space="preserve"> </w:t>
      </w:r>
      <w:r w:rsidR="005F1F7A" w:rsidRPr="005F1F7A">
        <w:rPr>
          <w:color w:val="2D3B45"/>
        </w:rPr>
        <w:t>(Chaparro et al., 2019)</w:t>
      </w:r>
      <w:r w:rsidRPr="0068562B">
        <w:rPr>
          <w:color w:val="2D3B45"/>
        </w:rPr>
        <w:t xml:space="preserve">. The food packages provide supplemental nutrients to expectant, breastfeeding, postpartum women, infants, and </w:t>
      </w:r>
      <w:r w:rsidRPr="0068562B">
        <w:rPr>
          <w:color w:val="2D3B45"/>
        </w:rPr>
        <w:t>children at nutritional risk.</w:t>
      </w:r>
    </w:p>
    <w:p w14:paraId="7BB6C83F" w14:textId="39C3DEA7" w:rsidR="006102B0" w:rsidRPr="00284404" w:rsidRDefault="000C5CBB" w:rsidP="0068562B">
      <w:pPr>
        <w:pStyle w:val="ListParagraph"/>
        <w:numPr>
          <w:ilvl w:val="0"/>
          <w:numId w:val="4"/>
        </w:numPr>
        <w:spacing w:before="100" w:beforeAutospacing="1" w:after="100" w:afterAutospacing="1" w:line="480" w:lineRule="auto"/>
        <w:rPr>
          <w:i/>
          <w:color w:val="2D3B45"/>
        </w:rPr>
      </w:pPr>
      <w:r w:rsidRPr="00284404">
        <w:rPr>
          <w:i/>
          <w:color w:val="2D3B45"/>
        </w:rPr>
        <w:t>Evaluation design</w:t>
      </w:r>
    </w:p>
    <w:p w14:paraId="1261FD37" w14:textId="0804F06A" w:rsidR="0068562B" w:rsidRPr="0068562B" w:rsidRDefault="000C5CBB" w:rsidP="00284404">
      <w:pPr>
        <w:spacing w:before="100" w:beforeAutospacing="1" w:after="100" w:afterAutospacing="1" w:line="480" w:lineRule="auto"/>
        <w:ind w:firstLine="360"/>
        <w:rPr>
          <w:color w:val="2D3B45"/>
        </w:rPr>
      </w:pPr>
      <w:r>
        <w:rPr>
          <w:color w:val="2D3B45"/>
        </w:rPr>
        <w:t>The design will use resources described as the beneficiaries, the funding bodies, and agreements made in the support of the program. Data is collected by the use of questionnaires, direct responses, and inter</w:t>
      </w:r>
      <w:r>
        <w:rPr>
          <w:color w:val="2D3B45"/>
        </w:rPr>
        <w:t>views. Analysis of secondary data will also be considered. The methods of analysis will mainly excel software.</w:t>
      </w:r>
    </w:p>
    <w:p w14:paraId="3984E14B" w14:textId="57DFEDB0" w:rsidR="006102B0" w:rsidRPr="00284404" w:rsidRDefault="000C5CBB" w:rsidP="0068562B">
      <w:pPr>
        <w:pStyle w:val="ListParagraph"/>
        <w:numPr>
          <w:ilvl w:val="0"/>
          <w:numId w:val="4"/>
        </w:numPr>
        <w:spacing w:before="100" w:beforeAutospacing="1" w:after="100" w:afterAutospacing="1" w:line="480" w:lineRule="auto"/>
        <w:rPr>
          <w:i/>
          <w:color w:val="2D3B45"/>
        </w:rPr>
      </w:pPr>
      <w:r w:rsidRPr="00284404">
        <w:rPr>
          <w:i/>
          <w:color w:val="2D3B45"/>
        </w:rPr>
        <w:t>Gathering evidence</w:t>
      </w:r>
    </w:p>
    <w:p w14:paraId="4087D5DE" w14:textId="3A249776" w:rsidR="0068562B" w:rsidRPr="0068562B" w:rsidRDefault="000C5CBB" w:rsidP="00284404">
      <w:pPr>
        <w:spacing w:before="100" w:beforeAutospacing="1" w:after="100" w:afterAutospacing="1" w:line="480" w:lineRule="auto"/>
        <w:ind w:firstLine="360"/>
        <w:rPr>
          <w:color w:val="2D3B45"/>
        </w:rPr>
      </w:pPr>
      <w:r>
        <w:rPr>
          <w:color w:val="2D3B45"/>
        </w:rPr>
        <w:t xml:space="preserve">The evidence will be obtained from data analysis </w:t>
      </w:r>
      <w:r w:rsidR="002571FA">
        <w:rPr>
          <w:color w:val="2D3B45"/>
        </w:rPr>
        <w:t>that supports the study hypothesis. In other cases, recommendations made by stakeholders will be considered and compared over multivariate conditions. Indicators of credibility of data are mostly through confidence interval as applies in statistics.</w:t>
      </w:r>
    </w:p>
    <w:p w14:paraId="44AE4F2E" w14:textId="7C2E7265" w:rsidR="006102B0" w:rsidRPr="00284404" w:rsidRDefault="000C5CBB" w:rsidP="0068562B">
      <w:pPr>
        <w:pStyle w:val="ListParagraph"/>
        <w:numPr>
          <w:ilvl w:val="0"/>
          <w:numId w:val="4"/>
        </w:numPr>
        <w:spacing w:before="100" w:beforeAutospacing="1" w:after="100" w:afterAutospacing="1" w:line="480" w:lineRule="auto"/>
        <w:rPr>
          <w:i/>
          <w:color w:val="2D3B45"/>
        </w:rPr>
      </w:pPr>
      <w:r w:rsidRPr="00284404">
        <w:rPr>
          <w:i/>
          <w:color w:val="2D3B45"/>
        </w:rPr>
        <w:t>Justify conclusions</w:t>
      </w:r>
    </w:p>
    <w:p w14:paraId="28D367E7" w14:textId="5E982137" w:rsidR="002571FA" w:rsidRPr="002571FA" w:rsidRDefault="000C5CBB" w:rsidP="00284404">
      <w:pPr>
        <w:spacing w:before="100" w:beforeAutospacing="1" w:after="100" w:afterAutospacing="1" w:line="480" w:lineRule="auto"/>
        <w:ind w:firstLine="360"/>
        <w:rPr>
          <w:color w:val="2D3B45"/>
        </w:rPr>
      </w:pPr>
      <w:r>
        <w:rPr>
          <w:color w:val="2D3B45"/>
        </w:rPr>
        <w:t xml:space="preserve">The evidence gathered is judged according to agreeable sorts of merit and standards made for the healthcare system. This implies that, in cases such as stillbirth, the medical description of the same is considered. Same for aspects such as birth weight et </w:t>
      </w:r>
      <w:r>
        <w:rPr>
          <w:color w:val="2D3B45"/>
        </w:rPr>
        <w:t xml:space="preserve">cetera. From the data, conclusions drawn will lead to recommendations that are inspired by data analysis. </w:t>
      </w:r>
    </w:p>
    <w:p w14:paraId="1CE7797D" w14:textId="14948FA5" w:rsidR="006102B0" w:rsidRPr="00284404" w:rsidRDefault="000C5CBB" w:rsidP="0068562B">
      <w:pPr>
        <w:pStyle w:val="ListParagraph"/>
        <w:numPr>
          <w:ilvl w:val="0"/>
          <w:numId w:val="4"/>
        </w:numPr>
        <w:spacing w:before="100" w:beforeAutospacing="1" w:after="100" w:afterAutospacing="1" w:line="480" w:lineRule="auto"/>
        <w:rPr>
          <w:i/>
          <w:color w:val="2D3B45"/>
        </w:rPr>
      </w:pPr>
      <w:r w:rsidRPr="00284404">
        <w:rPr>
          <w:i/>
          <w:color w:val="2D3B45"/>
        </w:rPr>
        <w:t>Ensure use and sharing lessons</w:t>
      </w:r>
    </w:p>
    <w:p w14:paraId="08B3B939" w14:textId="63FE0166" w:rsidR="006102B0" w:rsidRDefault="000C5CBB" w:rsidP="00284404">
      <w:pPr>
        <w:spacing w:before="180" w:after="180" w:line="480" w:lineRule="auto"/>
        <w:ind w:firstLine="360"/>
        <w:rPr>
          <w:color w:val="2D3B45"/>
        </w:rPr>
      </w:pPr>
      <w:r>
        <w:rPr>
          <w:color w:val="2D3B45"/>
        </w:rPr>
        <w:lastRenderedPageBreak/>
        <w:t>Data obtained is recorded in the form of reports that can be shared with stakeholders</w:t>
      </w:r>
      <w:r w:rsidR="00284404">
        <w:rPr>
          <w:color w:val="2D3B45"/>
        </w:rPr>
        <w:t>, explaining the methods applied, findings, resources, and assumptions used. The beneficial use of the report is pegged on clarity, information dissemination, originality, and organizational context, and which will form a framework for the report. Follow-up activities for information transfers will involve responses in meetings, interpretations made to panels by different groups in the team.</w:t>
      </w:r>
    </w:p>
    <w:p w14:paraId="6E175264" w14:textId="77777777" w:rsidR="00284404" w:rsidRDefault="000C5CBB">
      <w:pPr>
        <w:rPr>
          <w:color w:val="2D3B45"/>
        </w:rPr>
      </w:pPr>
      <w:r>
        <w:rPr>
          <w:color w:val="2D3B45"/>
        </w:rPr>
        <w:br w:type="page"/>
      </w:r>
    </w:p>
    <w:p w14:paraId="28027762" w14:textId="22889DB8" w:rsidR="006102B0" w:rsidRPr="006102B0" w:rsidRDefault="000C5CBB" w:rsidP="006102B0">
      <w:pPr>
        <w:spacing w:before="180" w:after="180" w:line="480" w:lineRule="auto"/>
        <w:jc w:val="center"/>
        <w:rPr>
          <w:color w:val="2D3B45"/>
        </w:rPr>
      </w:pPr>
      <w:r w:rsidRPr="006102B0">
        <w:rPr>
          <w:color w:val="2D3B45"/>
        </w:rPr>
        <w:lastRenderedPageBreak/>
        <w:t>References</w:t>
      </w:r>
    </w:p>
    <w:p w14:paraId="259F7EB9" w14:textId="018E9128" w:rsidR="005F1F7A" w:rsidRPr="005F1F7A" w:rsidRDefault="000C5CBB" w:rsidP="00B96E1E">
      <w:pPr>
        <w:spacing w:before="180" w:after="180" w:line="480" w:lineRule="auto"/>
        <w:jc w:val="both"/>
        <w:rPr>
          <w:color w:val="2D3B45"/>
        </w:rPr>
      </w:pPr>
      <w:r w:rsidRPr="005F1F7A">
        <w:rPr>
          <w:color w:val="2D3B45"/>
        </w:rPr>
        <w:t xml:space="preserve">Besharov, D. J., &amp; Germanis, P. (2001). </w:t>
      </w:r>
      <w:r w:rsidRPr="005F1F7A">
        <w:rPr>
          <w:i/>
          <w:iCs/>
          <w:color w:val="2D3B45"/>
        </w:rPr>
        <w:t>Rethinking WIC: An ev</w:t>
      </w:r>
      <w:r>
        <w:rPr>
          <w:i/>
          <w:iCs/>
          <w:color w:val="2D3B45"/>
        </w:rPr>
        <w:t>aluation of the women, infants,</w:t>
      </w:r>
      <w:r>
        <w:rPr>
          <w:i/>
          <w:iCs/>
          <w:color w:val="2D3B45"/>
        </w:rPr>
        <w:tab/>
      </w:r>
      <w:r w:rsidRPr="005F1F7A">
        <w:rPr>
          <w:i/>
          <w:iCs/>
          <w:color w:val="2D3B45"/>
        </w:rPr>
        <w:t>and children program</w:t>
      </w:r>
      <w:r w:rsidRPr="005F1F7A">
        <w:rPr>
          <w:color w:val="2D3B45"/>
        </w:rPr>
        <w:t>. American Enterprise In</w:t>
      </w:r>
      <w:r w:rsidRPr="005F1F7A">
        <w:rPr>
          <w:color w:val="2D3B45"/>
        </w:rPr>
        <w:t>stitute.</w:t>
      </w:r>
    </w:p>
    <w:p w14:paraId="08F06BE7" w14:textId="77777777" w:rsidR="005F1F7A" w:rsidRDefault="000C5CBB" w:rsidP="00B96E1E">
      <w:pPr>
        <w:spacing w:line="480" w:lineRule="auto"/>
        <w:jc w:val="both"/>
      </w:pPr>
      <w:r w:rsidRPr="00284404">
        <w:rPr>
          <w:color w:val="2D3B45"/>
        </w:rPr>
        <w:t xml:space="preserve">Chaparro, M. P., Crespi, C. M., Anderson, C. E., Wang, M. </w:t>
      </w:r>
      <w:r>
        <w:rPr>
          <w:color w:val="2D3B45"/>
        </w:rPr>
        <w:t>C., &amp; Whaley, S. E. (2019). The</w:t>
      </w:r>
      <w:r>
        <w:rPr>
          <w:color w:val="2D3B45"/>
        </w:rPr>
        <w:tab/>
      </w:r>
      <w:r w:rsidRPr="00284404">
        <w:rPr>
          <w:color w:val="2D3B45"/>
        </w:rPr>
        <w:t>2009 special supplemental nutrition program for wom</w:t>
      </w:r>
      <w:r>
        <w:rPr>
          <w:color w:val="2D3B45"/>
        </w:rPr>
        <w:t>en, infants, and children (WIC)</w:t>
      </w:r>
      <w:r>
        <w:rPr>
          <w:color w:val="2D3B45"/>
        </w:rPr>
        <w:tab/>
      </w:r>
      <w:r w:rsidRPr="00284404">
        <w:rPr>
          <w:color w:val="2D3B45"/>
        </w:rPr>
        <w:t>food package change and children's growth trajecto</w:t>
      </w:r>
      <w:r>
        <w:rPr>
          <w:color w:val="2D3B45"/>
        </w:rPr>
        <w:t xml:space="preserve">ries and obesity in Los </w:t>
      </w:r>
      <w:r>
        <w:rPr>
          <w:color w:val="2D3B45"/>
        </w:rPr>
        <w:t>Angeles</w:t>
      </w:r>
      <w:r>
        <w:rPr>
          <w:color w:val="2D3B45"/>
        </w:rPr>
        <w:tab/>
      </w:r>
      <w:r w:rsidRPr="00284404">
        <w:rPr>
          <w:color w:val="2D3B45"/>
        </w:rPr>
        <w:t xml:space="preserve">County. </w:t>
      </w:r>
      <w:r w:rsidRPr="00284404">
        <w:rPr>
          <w:i/>
          <w:iCs/>
          <w:color w:val="2D3B45"/>
        </w:rPr>
        <w:t>The American journal of clinical nutrition</w:t>
      </w:r>
      <w:r w:rsidRPr="00284404">
        <w:rPr>
          <w:color w:val="2D3B45"/>
        </w:rPr>
        <w:t xml:space="preserve">, </w:t>
      </w:r>
      <w:r w:rsidRPr="00284404">
        <w:rPr>
          <w:i/>
          <w:iCs/>
          <w:color w:val="2D3B45"/>
        </w:rPr>
        <w:t>109</w:t>
      </w:r>
      <w:r w:rsidRPr="00284404">
        <w:rPr>
          <w:color w:val="2D3B45"/>
        </w:rPr>
        <w:t>(5), 1414-1421.</w:t>
      </w:r>
      <w:r w:rsidRPr="005F1F7A">
        <w:t xml:space="preserve"> </w:t>
      </w:r>
    </w:p>
    <w:p w14:paraId="2BE654CD" w14:textId="5417CC46" w:rsidR="00284404" w:rsidRPr="005F1F7A" w:rsidRDefault="000C5CBB" w:rsidP="00B96E1E">
      <w:pPr>
        <w:spacing w:line="480" w:lineRule="auto"/>
        <w:jc w:val="both"/>
      </w:pPr>
      <w:r>
        <w:t>Hudak, K. M., Paul, R., Gholizadeh, S., Zadrozny, W., &amp; Racine, E. F. (2020). Special</w:t>
      </w:r>
      <w:r>
        <w:tab/>
        <w:t>Supplemental Nutrition Program for Women, Infants, and Children (WIC) authorization</w:t>
      </w:r>
      <w:r>
        <w:tab/>
        <w:t>of dis</w:t>
      </w:r>
      <w:r>
        <w:t>count variety stores: Leveraging the private sector to modestly increase availability</w:t>
      </w:r>
      <w:r>
        <w:tab/>
        <w:t xml:space="preserve">of healthy foods. </w:t>
      </w:r>
      <w:r>
        <w:rPr>
          <w:i/>
          <w:iCs/>
        </w:rPr>
        <w:t>The American journal of clinical nutrition</w:t>
      </w:r>
      <w:r>
        <w:t xml:space="preserve">, </w:t>
      </w:r>
      <w:r>
        <w:rPr>
          <w:i/>
          <w:iCs/>
        </w:rPr>
        <w:t>111</w:t>
      </w:r>
      <w:r>
        <w:t>(6), 1278-1285.</w:t>
      </w:r>
    </w:p>
    <w:p w14:paraId="01AAA1C1" w14:textId="3E500754" w:rsidR="006102B0" w:rsidRDefault="000C5CBB" w:rsidP="00B96E1E">
      <w:pPr>
        <w:spacing w:before="180" w:after="180" w:line="480" w:lineRule="auto"/>
        <w:jc w:val="both"/>
        <w:rPr>
          <w:color w:val="2D3B45"/>
        </w:rPr>
      </w:pPr>
      <w:r w:rsidRPr="00284404">
        <w:rPr>
          <w:color w:val="2D3B45"/>
        </w:rPr>
        <w:t xml:space="preserve"> </w:t>
      </w:r>
      <w:r w:rsidRPr="006102B0">
        <w:rPr>
          <w:color w:val="2D3B45"/>
        </w:rPr>
        <w:t xml:space="preserve">Reitsma, A., Simioni, J., Brunton, G., Kaufman, K., &amp; Hutton, E. K. (2020). </w:t>
      </w:r>
      <w:r w:rsidRPr="006102B0">
        <w:rPr>
          <w:color w:val="2D3B45"/>
        </w:rPr>
        <w:t>Maternal outcomes</w:t>
      </w:r>
      <w:r w:rsidRPr="006102B0">
        <w:rPr>
          <w:color w:val="2D3B45"/>
        </w:rPr>
        <w:tab/>
        <w:t>and birth interventions among women who begin labour intending to give birth at home</w:t>
      </w:r>
      <w:r w:rsidRPr="006102B0">
        <w:rPr>
          <w:color w:val="2D3B45"/>
        </w:rPr>
        <w:tab/>
        <w:t>compared to women of low obstetrical risk who intend to give birth in hospital: A</w:t>
      </w:r>
      <w:r w:rsidRPr="006102B0">
        <w:rPr>
          <w:color w:val="2D3B45"/>
        </w:rPr>
        <w:tab/>
        <w:t xml:space="preserve">systematic review and meta-analyses. </w:t>
      </w:r>
      <w:r w:rsidRPr="006102B0">
        <w:rPr>
          <w:i/>
          <w:iCs/>
          <w:color w:val="2D3B45"/>
        </w:rPr>
        <w:t>EClinicalMedicine</w:t>
      </w:r>
      <w:r w:rsidRPr="006102B0">
        <w:rPr>
          <w:color w:val="2D3B45"/>
        </w:rPr>
        <w:t xml:space="preserve">, </w:t>
      </w:r>
      <w:r w:rsidRPr="006102B0">
        <w:rPr>
          <w:i/>
          <w:iCs/>
          <w:color w:val="2D3B45"/>
        </w:rPr>
        <w:t>21</w:t>
      </w:r>
      <w:r w:rsidRPr="006102B0">
        <w:rPr>
          <w:color w:val="2D3B45"/>
        </w:rPr>
        <w:t>, 100319.</w:t>
      </w:r>
    </w:p>
    <w:p w14:paraId="030A5983" w14:textId="16286732" w:rsidR="005F1F7A" w:rsidRPr="005F1F7A" w:rsidRDefault="000C5CBB" w:rsidP="00B96E1E">
      <w:pPr>
        <w:spacing w:before="180" w:after="180" w:line="480" w:lineRule="auto"/>
        <w:jc w:val="both"/>
        <w:rPr>
          <w:color w:val="2D3B45"/>
        </w:rPr>
      </w:pPr>
      <w:r w:rsidRPr="005F1F7A">
        <w:rPr>
          <w:color w:val="2D3B45"/>
        </w:rPr>
        <w:t>Sek</w:t>
      </w:r>
      <w:r w:rsidRPr="005F1F7A">
        <w:rPr>
          <w:color w:val="2D3B45"/>
        </w:rPr>
        <w:t>hobo, J. P., Peck, S. R., Byun, Y., Allsopp, M. A., Holbroo</w:t>
      </w:r>
      <w:r>
        <w:rPr>
          <w:color w:val="2D3B45"/>
        </w:rPr>
        <w:t>k, M. K., Edmunds, L. S., &amp; Yu,</w:t>
      </w:r>
      <w:r>
        <w:rPr>
          <w:color w:val="2D3B45"/>
        </w:rPr>
        <w:tab/>
      </w:r>
      <w:r w:rsidRPr="005F1F7A">
        <w:rPr>
          <w:color w:val="2D3B45"/>
        </w:rPr>
        <w:t xml:space="preserve">C. (2017). Use of a mixed-method approach to evaluate </w:t>
      </w:r>
      <w:r>
        <w:rPr>
          <w:color w:val="2D3B45"/>
        </w:rPr>
        <w:t>the implementation of retention</w:t>
      </w:r>
      <w:r>
        <w:rPr>
          <w:color w:val="2D3B45"/>
        </w:rPr>
        <w:tab/>
      </w:r>
      <w:r w:rsidRPr="005F1F7A">
        <w:rPr>
          <w:color w:val="2D3B45"/>
        </w:rPr>
        <w:t xml:space="preserve">promotion strategies in the New York State WIC program. </w:t>
      </w:r>
      <w:r>
        <w:rPr>
          <w:i/>
          <w:iCs/>
          <w:color w:val="2D3B45"/>
        </w:rPr>
        <w:t>Evaluation and program</w:t>
      </w:r>
      <w:r>
        <w:rPr>
          <w:i/>
          <w:iCs/>
          <w:color w:val="2D3B45"/>
        </w:rPr>
        <w:tab/>
      </w:r>
      <w:r w:rsidRPr="005F1F7A">
        <w:rPr>
          <w:i/>
          <w:iCs/>
          <w:color w:val="2D3B45"/>
        </w:rPr>
        <w:t>planning</w:t>
      </w:r>
      <w:r w:rsidRPr="005F1F7A">
        <w:rPr>
          <w:color w:val="2D3B45"/>
        </w:rPr>
        <w:t xml:space="preserve">, </w:t>
      </w:r>
      <w:r w:rsidRPr="005F1F7A">
        <w:rPr>
          <w:i/>
          <w:iCs/>
          <w:color w:val="2D3B45"/>
        </w:rPr>
        <w:t>63</w:t>
      </w:r>
      <w:r w:rsidRPr="005F1F7A">
        <w:rPr>
          <w:color w:val="2D3B45"/>
        </w:rPr>
        <w:t>, 7-17.</w:t>
      </w:r>
    </w:p>
    <w:p w14:paraId="5A2CB918" w14:textId="77777777" w:rsidR="005F1F7A" w:rsidRPr="006102B0" w:rsidRDefault="005F1F7A" w:rsidP="00284404">
      <w:pPr>
        <w:spacing w:before="180" w:after="180" w:line="480" w:lineRule="auto"/>
        <w:rPr>
          <w:color w:val="2D3B45"/>
        </w:rPr>
      </w:pPr>
    </w:p>
    <w:p w14:paraId="26686FF6" w14:textId="77777777" w:rsidR="006102B0" w:rsidRPr="006102B0" w:rsidRDefault="006102B0" w:rsidP="006102B0">
      <w:pPr>
        <w:spacing w:before="180" w:after="180"/>
        <w:rPr>
          <w:color w:val="2D3B45"/>
        </w:rPr>
      </w:pPr>
    </w:p>
    <w:sectPr w:rsidR="006102B0" w:rsidRPr="006102B0" w:rsidSect="00D41EB7">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FB75F" w14:textId="77777777" w:rsidR="000C5CBB" w:rsidRDefault="000C5CBB">
      <w:r>
        <w:separator/>
      </w:r>
    </w:p>
  </w:endnote>
  <w:endnote w:type="continuationSeparator" w:id="0">
    <w:p w14:paraId="7F933E11" w14:textId="77777777" w:rsidR="000C5CBB" w:rsidRDefault="000C5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C477B" w14:textId="77777777" w:rsidR="000C5CBB" w:rsidRDefault="000C5CBB">
      <w:r>
        <w:separator/>
      </w:r>
    </w:p>
  </w:footnote>
  <w:footnote w:type="continuationSeparator" w:id="0">
    <w:p w14:paraId="092F9CAC" w14:textId="77777777" w:rsidR="000C5CBB" w:rsidRDefault="000C5C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4C56B" w14:textId="3CEA5CF1" w:rsidR="00990FC8" w:rsidRDefault="000C5CBB">
    <w:pPr>
      <w:pStyle w:val="Header"/>
      <w:jc w:val="right"/>
    </w:pPr>
    <w:r w:rsidRPr="00990FC8">
      <w:t xml:space="preserve">MATERNAL AND CHILDHOOD </w:t>
    </w:r>
    <w:r w:rsidR="005E7722">
      <w:t xml:space="preserve">OUTCOMES </w:t>
    </w:r>
    <w:r w:rsidRPr="00990FC8">
      <w:t>EVALUATION PROGRAM</w:t>
    </w:r>
    <w:r>
      <w:t xml:space="preserve">                          </w:t>
    </w:r>
    <w:sdt>
      <w:sdtPr>
        <w:id w:val="98366387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5F1F7A">
          <w:rPr>
            <w:noProof/>
          </w:rPr>
          <w:t>6</w:t>
        </w:r>
        <w:r>
          <w:rPr>
            <w:noProof/>
          </w:rPr>
          <w:fldChar w:fldCharType="end"/>
        </w:r>
      </w:sdtContent>
    </w:sdt>
  </w:p>
  <w:p w14:paraId="3CE81D97" w14:textId="77777777" w:rsidR="00D41EB7" w:rsidRDefault="00D41E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063317"/>
      <w:docPartObj>
        <w:docPartGallery w:val="Page Numbers (Top of Page)"/>
        <w:docPartUnique/>
      </w:docPartObj>
    </w:sdtPr>
    <w:sdtEndPr>
      <w:rPr>
        <w:noProof/>
      </w:rPr>
    </w:sdtEndPr>
    <w:sdtContent>
      <w:p w14:paraId="788F7121" w14:textId="57C6B827" w:rsidR="00D41EB7" w:rsidRPr="00D41EB7" w:rsidRDefault="000C5CBB">
        <w:pPr>
          <w:pStyle w:val="Header"/>
          <w:jc w:val="right"/>
        </w:pPr>
        <w:r w:rsidRPr="00D41EB7">
          <w:t xml:space="preserve">Running </w:t>
        </w:r>
        <w:r w:rsidR="00990FC8" w:rsidRPr="00D41EB7">
          <w:t>H</w:t>
        </w:r>
        <w:r w:rsidRPr="00D41EB7">
          <w:t xml:space="preserve">ead: MATERNAL </w:t>
        </w:r>
        <w:r w:rsidR="005E7722">
          <w:t xml:space="preserve">AND CHILDHOOD </w:t>
        </w:r>
        <w:r w:rsidR="005E7722" w:rsidRPr="005E7722">
          <w:t>OUTCOMES</w:t>
        </w:r>
        <w:r w:rsidR="005E7722">
          <w:t xml:space="preserve"> EVALUATION         </w:t>
        </w:r>
        <w:r w:rsidR="00990FC8">
          <w:t xml:space="preserve">            </w:t>
        </w:r>
        <w:r w:rsidRPr="00D41EB7">
          <w:fldChar w:fldCharType="begin"/>
        </w:r>
        <w:r w:rsidRPr="00D41EB7">
          <w:instrText xml:space="preserve"> PAGE   \* MERGEFORMAT </w:instrText>
        </w:r>
        <w:r w:rsidRPr="00D41EB7">
          <w:fldChar w:fldCharType="separate"/>
        </w:r>
        <w:r w:rsidR="005F1F7A" w:rsidRPr="005F1F7A">
          <w:rPr>
            <w:rFonts w:asciiTheme="minorHAnsi" w:hAnsiTheme="minorHAnsi" w:cstheme="minorBidi"/>
            <w:noProof/>
          </w:rPr>
          <w:t>1</w:t>
        </w:r>
        <w:r w:rsidRPr="00D41EB7">
          <w:rPr>
            <w:noProof/>
          </w:rPr>
          <w:fldChar w:fldCharType="end"/>
        </w:r>
      </w:p>
    </w:sdtContent>
  </w:sdt>
  <w:p w14:paraId="559F0DB5" w14:textId="77777777" w:rsidR="00D41EB7" w:rsidRDefault="00D41E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C557A"/>
    <w:multiLevelType w:val="hybridMultilevel"/>
    <w:tmpl w:val="191A54B6"/>
    <w:lvl w:ilvl="0" w:tplc="4E3005C6">
      <w:start w:val="1"/>
      <w:numFmt w:val="decimal"/>
      <w:lvlText w:val="%1."/>
      <w:lvlJc w:val="left"/>
      <w:pPr>
        <w:ind w:left="720" w:hanging="360"/>
      </w:pPr>
      <w:rPr>
        <w:rFonts w:hint="default"/>
      </w:rPr>
    </w:lvl>
    <w:lvl w:ilvl="1" w:tplc="D9EA770C" w:tentative="1">
      <w:start w:val="1"/>
      <w:numFmt w:val="lowerLetter"/>
      <w:lvlText w:val="%2."/>
      <w:lvlJc w:val="left"/>
      <w:pPr>
        <w:ind w:left="1440" w:hanging="360"/>
      </w:pPr>
    </w:lvl>
    <w:lvl w:ilvl="2" w:tplc="8388918A" w:tentative="1">
      <w:start w:val="1"/>
      <w:numFmt w:val="lowerRoman"/>
      <w:lvlText w:val="%3."/>
      <w:lvlJc w:val="right"/>
      <w:pPr>
        <w:ind w:left="2160" w:hanging="180"/>
      </w:pPr>
    </w:lvl>
    <w:lvl w:ilvl="3" w:tplc="D8D01F8E" w:tentative="1">
      <w:start w:val="1"/>
      <w:numFmt w:val="decimal"/>
      <w:lvlText w:val="%4."/>
      <w:lvlJc w:val="left"/>
      <w:pPr>
        <w:ind w:left="2880" w:hanging="360"/>
      </w:pPr>
    </w:lvl>
    <w:lvl w:ilvl="4" w:tplc="D1AE77A2" w:tentative="1">
      <w:start w:val="1"/>
      <w:numFmt w:val="lowerLetter"/>
      <w:lvlText w:val="%5."/>
      <w:lvlJc w:val="left"/>
      <w:pPr>
        <w:ind w:left="3600" w:hanging="360"/>
      </w:pPr>
    </w:lvl>
    <w:lvl w:ilvl="5" w:tplc="E640D9E2" w:tentative="1">
      <w:start w:val="1"/>
      <w:numFmt w:val="lowerRoman"/>
      <w:lvlText w:val="%6."/>
      <w:lvlJc w:val="right"/>
      <w:pPr>
        <w:ind w:left="4320" w:hanging="180"/>
      </w:pPr>
    </w:lvl>
    <w:lvl w:ilvl="6" w:tplc="70D8A1E2" w:tentative="1">
      <w:start w:val="1"/>
      <w:numFmt w:val="decimal"/>
      <w:lvlText w:val="%7."/>
      <w:lvlJc w:val="left"/>
      <w:pPr>
        <w:ind w:left="5040" w:hanging="360"/>
      </w:pPr>
    </w:lvl>
    <w:lvl w:ilvl="7" w:tplc="CD4A36FE" w:tentative="1">
      <w:start w:val="1"/>
      <w:numFmt w:val="lowerLetter"/>
      <w:lvlText w:val="%8."/>
      <w:lvlJc w:val="left"/>
      <w:pPr>
        <w:ind w:left="5760" w:hanging="360"/>
      </w:pPr>
    </w:lvl>
    <w:lvl w:ilvl="8" w:tplc="0FC670FA" w:tentative="1">
      <w:start w:val="1"/>
      <w:numFmt w:val="lowerRoman"/>
      <w:lvlText w:val="%9."/>
      <w:lvlJc w:val="right"/>
      <w:pPr>
        <w:ind w:left="6480" w:hanging="180"/>
      </w:pPr>
    </w:lvl>
  </w:abstractNum>
  <w:abstractNum w:abstractNumId="1" w15:restartNumberingAfterBreak="0">
    <w:nsid w:val="39E7066E"/>
    <w:multiLevelType w:val="multilevel"/>
    <w:tmpl w:val="AA285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AD3AD7"/>
    <w:multiLevelType w:val="hybridMultilevel"/>
    <w:tmpl w:val="2838747C"/>
    <w:lvl w:ilvl="0" w:tplc="28DE45BC">
      <w:start w:val="1"/>
      <w:numFmt w:val="bullet"/>
      <w:lvlText w:val=""/>
      <w:lvlJc w:val="left"/>
      <w:pPr>
        <w:ind w:left="1815" w:hanging="360"/>
      </w:pPr>
      <w:rPr>
        <w:rFonts w:ascii="Symbol" w:hAnsi="Symbol" w:hint="default"/>
      </w:rPr>
    </w:lvl>
    <w:lvl w:ilvl="1" w:tplc="B7F6C632" w:tentative="1">
      <w:start w:val="1"/>
      <w:numFmt w:val="bullet"/>
      <w:lvlText w:val="o"/>
      <w:lvlJc w:val="left"/>
      <w:pPr>
        <w:ind w:left="2535" w:hanging="360"/>
      </w:pPr>
      <w:rPr>
        <w:rFonts w:ascii="Courier New" w:hAnsi="Courier New" w:cs="Courier New" w:hint="default"/>
      </w:rPr>
    </w:lvl>
    <w:lvl w:ilvl="2" w:tplc="173488B0" w:tentative="1">
      <w:start w:val="1"/>
      <w:numFmt w:val="bullet"/>
      <w:lvlText w:val=""/>
      <w:lvlJc w:val="left"/>
      <w:pPr>
        <w:ind w:left="3255" w:hanging="360"/>
      </w:pPr>
      <w:rPr>
        <w:rFonts w:ascii="Wingdings" w:hAnsi="Wingdings" w:hint="default"/>
      </w:rPr>
    </w:lvl>
    <w:lvl w:ilvl="3" w:tplc="56FC898E" w:tentative="1">
      <w:start w:val="1"/>
      <w:numFmt w:val="bullet"/>
      <w:lvlText w:val=""/>
      <w:lvlJc w:val="left"/>
      <w:pPr>
        <w:ind w:left="3975" w:hanging="360"/>
      </w:pPr>
      <w:rPr>
        <w:rFonts w:ascii="Symbol" w:hAnsi="Symbol" w:hint="default"/>
      </w:rPr>
    </w:lvl>
    <w:lvl w:ilvl="4" w:tplc="A774C0C0" w:tentative="1">
      <w:start w:val="1"/>
      <w:numFmt w:val="bullet"/>
      <w:lvlText w:val="o"/>
      <w:lvlJc w:val="left"/>
      <w:pPr>
        <w:ind w:left="4695" w:hanging="360"/>
      </w:pPr>
      <w:rPr>
        <w:rFonts w:ascii="Courier New" w:hAnsi="Courier New" w:cs="Courier New" w:hint="default"/>
      </w:rPr>
    </w:lvl>
    <w:lvl w:ilvl="5" w:tplc="3A927794" w:tentative="1">
      <w:start w:val="1"/>
      <w:numFmt w:val="bullet"/>
      <w:lvlText w:val=""/>
      <w:lvlJc w:val="left"/>
      <w:pPr>
        <w:ind w:left="5415" w:hanging="360"/>
      </w:pPr>
      <w:rPr>
        <w:rFonts w:ascii="Wingdings" w:hAnsi="Wingdings" w:hint="default"/>
      </w:rPr>
    </w:lvl>
    <w:lvl w:ilvl="6" w:tplc="D4E4DA44" w:tentative="1">
      <w:start w:val="1"/>
      <w:numFmt w:val="bullet"/>
      <w:lvlText w:val=""/>
      <w:lvlJc w:val="left"/>
      <w:pPr>
        <w:ind w:left="6135" w:hanging="360"/>
      </w:pPr>
      <w:rPr>
        <w:rFonts w:ascii="Symbol" w:hAnsi="Symbol" w:hint="default"/>
      </w:rPr>
    </w:lvl>
    <w:lvl w:ilvl="7" w:tplc="E2E2826A" w:tentative="1">
      <w:start w:val="1"/>
      <w:numFmt w:val="bullet"/>
      <w:lvlText w:val="o"/>
      <w:lvlJc w:val="left"/>
      <w:pPr>
        <w:ind w:left="6855" w:hanging="360"/>
      </w:pPr>
      <w:rPr>
        <w:rFonts w:ascii="Courier New" w:hAnsi="Courier New" w:cs="Courier New" w:hint="default"/>
      </w:rPr>
    </w:lvl>
    <w:lvl w:ilvl="8" w:tplc="925EB06A" w:tentative="1">
      <w:start w:val="1"/>
      <w:numFmt w:val="bullet"/>
      <w:lvlText w:val=""/>
      <w:lvlJc w:val="left"/>
      <w:pPr>
        <w:ind w:left="7575" w:hanging="360"/>
      </w:pPr>
      <w:rPr>
        <w:rFonts w:ascii="Wingdings" w:hAnsi="Wingdings" w:hint="default"/>
      </w:rPr>
    </w:lvl>
  </w:abstractNum>
  <w:abstractNum w:abstractNumId="3" w15:restartNumberingAfterBreak="0">
    <w:nsid w:val="79B2696D"/>
    <w:multiLevelType w:val="hybridMultilevel"/>
    <w:tmpl w:val="C4DE2FB8"/>
    <w:lvl w:ilvl="0" w:tplc="C0DE7C12">
      <w:start w:val="1"/>
      <w:numFmt w:val="bullet"/>
      <w:lvlText w:val=""/>
      <w:lvlJc w:val="left"/>
      <w:pPr>
        <w:ind w:left="720" w:hanging="360"/>
      </w:pPr>
      <w:rPr>
        <w:rFonts w:ascii="Symbol" w:hAnsi="Symbol" w:hint="default"/>
      </w:rPr>
    </w:lvl>
    <w:lvl w:ilvl="1" w:tplc="48B23E8E" w:tentative="1">
      <w:start w:val="1"/>
      <w:numFmt w:val="bullet"/>
      <w:lvlText w:val="o"/>
      <w:lvlJc w:val="left"/>
      <w:pPr>
        <w:ind w:left="1440" w:hanging="360"/>
      </w:pPr>
      <w:rPr>
        <w:rFonts w:ascii="Courier New" w:hAnsi="Courier New" w:cs="Courier New" w:hint="default"/>
      </w:rPr>
    </w:lvl>
    <w:lvl w:ilvl="2" w:tplc="573E5D9E" w:tentative="1">
      <w:start w:val="1"/>
      <w:numFmt w:val="bullet"/>
      <w:lvlText w:val=""/>
      <w:lvlJc w:val="left"/>
      <w:pPr>
        <w:ind w:left="2160" w:hanging="360"/>
      </w:pPr>
      <w:rPr>
        <w:rFonts w:ascii="Wingdings" w:hAnsi="Wingdings" w:hint="default"/>
      </w:rPr>
    </w:lvl>
    <w:lvl w:ilvl="3" w:tplc="F7EE2FE4" w:tentative="1">
      <w:start w:val="1"/>
      <w:numFmt w:val="bullet"/>
      <w:lvlText w:val=""/>
      <w:lvlJc w:val="left"/>
      <w:pPr>
        <w:ind w:left="2880" w:hanging="360"/>
      </w:pPr>
      <w:rPr>
        <w:rFonts w:ascii="Symbol" w:hAnsi="Symbol" w:hint="default"/>
      </w:rPr>
    </w:lvl>
    <w:lvl w:ilvl="4" w:tplc="BA38A230" w:tentative="1">
      <w:start w:val="1"/>
      <w:numFmt w:val="bullet"/>
      <w:lvlText w:val="o"/>
      <w:lvlJc w:val="left"/>
      <w:pPr>
        <w:ind w:left="3600" w:hanging="360"/>
      </w:pPr>
      <w:rPr>
        <w:rFonts w:ascii="Courier New" w:hAnsi="Courier New" w:cs="Courier New" w:hint="default"/>
      </w:rPr>
    </w:lvl>
    <w:lvl w:ilvl="5" w:tplc="893657C4" w:tentative="1">
      <w:start w:val="1"/>
      <w:numFmt w:val="bullet"/>
      <w:lvlText w:val=""/>
      <w:lvlJc w:val="left"/>
      <w:pPr>
        <w:ind w:left="4320" w:hanging="360"/>
      </w:pPr>
      <w:rPr>
        <w:rFonts w:ascii="Wingdings" w:hAnsi="Wingdings" w:hint="default"/>
      </w:rPr>
    </w:lvl>
    <w:lvl w:ilvl="6" w:tplc="92624A9A" w:tentative="1">
      <w:start w:val="1"/>
      <w:numFmt w:val="bullet"/>
      <w:lvlText w:val=""/>
      <w:lvlJc w:val="left"/>
      <w:pPr>
        <w:ind w:left="5040" w:hanging="360"/>
      </w:pPr>
      <w:rPr>
        <w:rFonts w:ascii="Symbol" w:hAnsi="Symbol" w:hint="default"/>
      </w:rPr>
    </w:lvl>
    <w:lvl w:ilvl="7" w:tplc="5FA84F56" w:tentative="1">
      <w:start w:val="1"/>
      <w:numFmt w:val="bullet"/>
      <w:lvlText w:val="o"/>
      <w:lvlJc w:val="left"/>
      <w:pPr>
        <w:ind w:left="5760" w:hanging="360"/>
      </w:pPr>
      <w:rPr>
        <w:rFonts w:ascii="Courier New" w:hAnsi="Courier New" w:cs="Courier New" w:hint="default"/>
      </w:rPr>
    </w:lvl>
    <w:lvl w:ilvl="8" w:tplc="E4FAEEAC"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A25"/>
    <w:rsid w:val="000339B8"/>
    <w:rsid w:val="000C5CBB"/>
    <w:rsid w:val="00240076"/>
    <w:rsid w:val="002571FA"/>
    <w:rsid w:val="00284404"/>
    <w:rsid w:val="00461A25"/>
    <w:rsid w:val="00522270"/>
    <w:rsid w:val="00591C35"/>
    <w:rsid w:val="005E7722"/>
    <w:rsid w:val="005F1F7A"/>
    <w:rsid w:val="006102B0"/>
    <w:rsid w:val="0068562B"/>
    <w:rsid w:val="006961D7"/>
    <w:rsid w:val="008A4DAF"/>
    <w:rsid w:val="00990FC8"/>
    <w:rsid w:val="00B85909"/>
    <w:rsid w:val="00B96E1E"/>
    <w:rsid w:val="00BA2F5C"/>
    <w:rsid w:val="00CC686B"/>
    <w:rsid w:val="00D41EB7"/>
    <w:rsid w:val="00DE3F8F"/>
    <w:rsid w:val="00E94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BFF24"/>
  <w15:chartTrackingRefBased/>
  <w15:docId w15:val="{49B252FC-D001-C145-884F-3827EB4B0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1F7A"/>
    <w:rPr>
      <w:rFonts w:ascii="Times New Roman" w:eastAsia="Times New Roman" w:hAnsi="Times New Roman" w:cs="Times New Roman"/>
    </w:rPr>
  </w:style>
  <w:style w:type="paragraph" w:styleId="Heading2">
    <w:name w:val="heading 2"/>
    <w:basedOn w:val="Normal"/>
    <w:link w:val="Heading2Char"/>
    <w:uiPriority w:val="9"/>
    <w:qFormat/>
    <w:rsid w:val="00461A25"/>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61A2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61A25"/>
    <w:pPr>
      <w:spacing w:before="100" w:beforeAutospacing="1" w:after="100" w:afterAutospacing="1"/>
    </w:pPr>
  </w:style>
  <w:style w:type="character" w:customStyle="1" w:styleId="Title1">
    <w:name w:val="Title1"/>
    <w:basedOn w:val="DefaultParagraphFont"/>
    <w:rsid w:val="00461A25"/>
  </w:style>
  <w:style w:type="character" w:customStyle="1" w:styleId="screenreader-only">
    <w:name w:val="screenreader-only"/>
    <w:basedOn w:val="DefaultParagraphFont"/>
    <w:rsid w:val="00461A25"/>
  </w:style>
  <w:style w:type="character" w:customStyle="1" w:styleId="description">
    <w:name w:val="description"/>
    <w:basedOn w:val="DefaultParagraphFont"/>
    <w:rsid w:val="00461A25"/>
  </w:style>
  <w:style w:type="character" w:customStyle="1" w:styleId="nobr">
    <w:name w:val="nobr"/>
    <w:basedOn w:val="DefaultParagraphFont"/>
    <w:rsid w:val="00461A25"/>
  </w:style>
  <w:style w:type="character" w:customStyle="1" w:styleId="points">
    <w:name w:val="points"/>
    <w:basedOn w:val="DefaultParagraphFont"/>
    <w:rsid w:val="00461A25"/>
  </w:style>
  <w:style w:type="character" w:customStyle="1" w:styleId="apple-converted-space">
    <w:name w:val="apple-converted-space"/>
    <w:basedOn w:val="DefaultParagraphFont"/>
    <w:rsid w:val="00461A25"/>
  </w:style>
  <w:style w:type="character" w:customStyle="1" w:styleId="rangerating">
    <w:name w:val="range_rating"/>
    <w:basedOn w:val="DefaultParagraphFont"/>
    <w:rsid w:val="00461A25"/>
  </w:style>
  <w:style w:type="character" w:customStyle="1" w:styleId="minpoints">
    <w:name w:val="min_points"/>
    <w:basedOn w:val="DefaultParagraphFont"/>
    <w:rsid w:val="00461A25"/>
  </w:style>
  <w:style w:type="character" w:customStyle="1" w:styleId="displaycriterionpoints">
    <w:name w:val="display_criterion_points"/>
    <w:basedOn w:val="DefaultParagraphFont"/>
    <w:rsid w:val="00461A25"/>
  </w:style>
  <w:style w:type="character" w:customStyle="1" w:styleId="rubrictotal">
    <w:name w:val="rubric_total"/>
    <w:basedOn w:val="DefaultParagraphFont"/>
    <w:rsid w:val="00461A25"/>
  </w:style>
  <w:style w:type="paragraph" w:styleId="Header">
    <w:name w:val="header"/>
    <w:basedOn w:val="Normal"/>
    <w:link w:val="HeaderChar"/>
    <w:uiPriority w:val="99"/>
    <w:unhideWhenUsed/>
    <w:rsid w:val="00D41EB7"/>
    <w:pPr>
      <w:tabs>
        <w:tab w:val="center" w:pos="4680"/>
        <w:tab w:val="right" w:pos="9360"/>
      </w:tabs>
    </w:pPr>
  </w:style>
  <w:style w:type="character" w:customStyle="1" w:styleId="HeaderChar">
    <w:name w:val="Header Char"/>
    <w:basedOn w:val="DefaultParagraphFont"/>
    <w:link w:val="Header"/>
    <w:uiPriority w:val="99"/>
    <w:rsid w:val="00D41EB7"/>
  </w:style>
  <w:style w:type="paragraph" w:styleId="Footer">
    <w:name w:val="footer"/>
    <w:basedOn w:val="Normal"/>
    <w:link w:val="FooterChar"/>
    <w:uiPriority w:val="99"/>
    <w:unhideWhenUsed/>
    <w:rsid w:val="00D41EB7"/>
    <w:pPr>
      <w:tabs>
        <w:tab w:val="center" w:pos="4680"/>
        <w:tab w:val="right" w:pos="9360"/>
      </w:tabs>
    </w:pPr>
  </w:style>
  <w:style w:type="character" w:customStyle="1" w:styleId="FooterChar">
    <w:name w:val="Footer Char"/>
    <w:basedOn w:val="DefaultParagraphFont"/>
    <w:link w:val="Footer"/>
    <w:uiPriority w:val="99"/>
    <w:rsid w:val="00D41EB7"/>
  </w:style>
  <w:style w:type="paragraph" w:styleId="ListParagraph">
    <w:name w:val="List Paragraph"/>
    <w:basedOn w:val="Normal"/>
    <w:uiPriority w:val="34"/>
    <w:qFormat/>
    <w:rsid w:val="00990F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1003</Words>
  <Characters>5719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Donielle Dixon</dc:creator>
  <cp:lastModifiedBy>KIBE</cp:lastModifiedBy>
  <cp:revision>2</cp:revision>
  <dcterms:created xsi:type="dcterms:W3CDTF">2021-04-25T16:24:00Z</dcterms:created>
  <dcterms:modified xsi:type="dcterms:W3CDTF">2021-04-25T16:24:00Z</dcterms:modified>
</cp:coreProperties>
</file>